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Прогнозирование, проектирование и моделирование в социальной работе</w:t>
            </w:r>
          </w:p>
          <w:p>
            <w:pPr>
              <w:jc w:val="center"/>
              <w:spacing w:after="0" w:line="240" w:lineRule="auto"/>
              <w:rPr>
                <w:sz w:val="32"/>
                <w:szCs w:val="32"/>
              </w:rPr>
            </w:pPr>
            <w:r>
              <w:rPr>
                <w:rFonts w:ascii="Times New Roman" w:hAnsi="Times New Roman" w:cs="Times New Roman"/>
                <w:color w:val="#000000"/>
                <w:sz w:val="32"/>
                <w:szCs w:val="32"/>
              </w:rPr>
              <w:t> Б1.О.02.05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51.3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«Прогнозирование, проектирование и моделирование в социальной работе»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Б1.О.02.05 «Прогнозирование, проектирование и моделирование в социальной работе».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«Прогнозирование, проектирование и моделирование в социальной работе»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ИОПК-1.1 знать современные информационно-коммуникационные технологии в профессиональной деятельности в сфере социальной работы</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ИОПК-1.2 знать принципы работы современных информационных технологий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ИОПК-1.3 уметь применять современные информационно- коммуникационные технологии для сбора, хранения и обработки информации при решении профессиональных задач в сфере социальной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ИОПК-1.4 уметь осуществлять выбор оптимальных современных информационных технологий для решения задач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ИОПК-1.5 владеть действиями (навыками) по применению современных информационно - коммуникационных технологий для представления информации при решении профессиональных задач в сфере социальной работы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ИОПК-1.6 владеть действиями (навыками) по осуществлению взаимодействия с объектами и субъектами профессиональной деятельности с учетом требований информационной безопасности в сфере социальной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ИОПК-1.7 владеть навыками использования современных информационных технологий для решения задач профессиональной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составлять и оформлять отчеты по результатам профессиональной деятельности в сфере социальной работы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ИОПК-3.1 знать требования, принципы и механизм систематизации результатов деятельности в письменной и устной формах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ИОПК-3.2 уметь осуществлять систематизацию результатов профессиональной деятельности в сфере социальной работы в форме отчетов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ИОПК-3.3 владеть навыками представления результатов научной и практической деятельности в форме публичных выступлений и/или публикаций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к осуществлению прогнозирования, проектирования и моделирования процессов, направленных на улучшение условий жизнедеятельности граждан</w:t>
            </w:r>
          </w:p>
        </w:tc>
      </w:tr>
      <w:tr>
        <w:trPr>
          <w:trHeight w:hRule="exact" w:val="585.0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ИПК-5.1 знать технологии социального прогнозирования в сфере социальной защиты населения</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ИПК-5.2 уметь применять  технологии социального прогнозирования в сфере социальной защиты населения</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ИПК-5.3 владеть навыками разработки проектов, направленных на обеспечение социального благополучия и социальной защиты граждан</w:t>
            </w:r>
          </w:p>
        </w:tc>
      </w:tr>
      <w:tr>
        <w:trPr>
          <w:trHeight w:hRule="exact" w:val="277.8299"/>
        </w:trPr>
        <w:tc>
          <w:tcPr>
            <w:tcW w:w="3970" w:type="dxa"/>
          </w:tcPr>
          <w:p/>
        </w:tc>
        <w:tc>
          <w:tcPr>
            <w:tcW w:w="4679" w:type="dxa"/>
          </w:tcPr>
          <w:p/>
        </w:tc>
        <w:tc>
          <w:tcPr>
            <w:tcW w:w="993" w:type="dxa"/>
          </w:tcP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ИУК-2.1 знать требования, предъявляемые к проектной работе, способы представления и описание целей и результатов проектной деятельности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ИУК-2.2 уметь определять круг задач в рамках поставленной цели, связь между ними, определять способы решения поставленных задач и ожидаемые результаты; оценивать предложенные способы с точки зрения соответствия цели проекта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ИУК-2.3 уметь планировать реализацию задач в зоне своей ответственности с учетом имеющихся ресурсов и ограничений, действующих правовых норм</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ИУК-2.4 владеть формулировкой в рамках поставленной цели проекта совокупности взаимосвязанных задач, обеспечивающих ее достижение</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ИУК-2.5 владеть представлением результатов проекта, предлагая возможности их использования или совершенствования</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Б1.О.02.05 «Прогнозирование, проектирование и моделирование в социальной работе» относится к обязательной части, является дисциплиной Блока Б1. «Дисциплины (модули)». Модуль 2 основной профессиональной образовательной программы высшего образования - бакалавриат по направлению подготовки 39.03.02 Социальная работа.</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Социология социальной работы</w:t>
            </w:r>
          </w:p>
          <w:p>
            <w:pPr>
              <w:jc w:val="center"/>
              <w:spacing w:after="0" w:line="240" w:lineRule="auto"/>
              <w:rPr>
                <w:sz w:val="22"/>
                <w:szCs w:val="22"/>
              </w:rPr>
            </w:pPr>
            <w:r>
              <w:rPr>
                <w:rFonts w:ascii="Times New Roman" w:hAnsi="Times New Roman" w:cs="Times New Roman"/>
                <w:color w:val="#000000"/>
                <w:sz w:val="22"/>
                <w:szCs w:val="22"/>
              </w:rPr>
              <w:t> Теория социальной работы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Технологии социальной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Технологии работы с клиентами, страдающими зависимостью и созависимостью</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ПК-5, ОПК-3, ОПК-1, УК-2</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301.3518"/>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04.584"/>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6</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основы социального предвидения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проблемы исследования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прогнозирование: теоретические аспекты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социальных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Сферы и перспективные проблемы социального проектирования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социального моделирования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Полезность как форма рационального проектирования, прогнозирования и моделирования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Обеспечивающие технологии проектирования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проблемы исследования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прогнозирование: теоретические аспекты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социальных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социального моделирования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Обеспечивающие технологии проектирования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основы социального предвидения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Сферы и перспективные проблемы социального проектирования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Полезность как форма рационального проектирования, прогнозирования и моделирования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4504.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93.8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Методологические основы социального предвидения</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проблемы исследования в социальной работе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Социальное прогнозирование: теоретические аспекты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Моделирование в социальной работе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социальных проектов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Сферы и перспективные проблемы социального проектирования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социального моделирования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Полезность как форма рационального проектирования, прогнозирования и моделирования в социальной работе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Обеспечивающие технологии проектирования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проблемы исследования в социальной работе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Социальное прогнозирование: теоретические аспекты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Моделирование в социальной работе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социальных проектов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социального моделирования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Обеспечивающие технологии проектирования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Методологические основы социального предвидения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Сферы и перспективные проблемы социального проектирования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Полезность как форма рационального проектирования, прогнозирования и моделирования в социальной работе</w:t>
            </w:r>
          </w:p>
        </w:tc>
      </w:tr>
      <w:tr>
        <w:trPr>
          <w:trHeight w:hRule="exact" w:val="21.31428"/>
        </w:trPr>
        <w:tc>
          <w:tcPr>
            <w:tcW w:w="9640" w:type="dxa"/>
          </w:tcPr>
          <w:p/>
        </w:tc>
      </w:tr>
      <w:tr>
        <w:trPr>
          <w:trHeight w:hRule="exact" w:val="267.2468"/>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584"/>
        </w:trPr>
        <w:tc>
          <w:tcPr>
            <w:tcW w:w="9654" w:type="dxa"/>
            <w:gridSpan w:val="2"/>
            <w:tcBorders>
</w:tcBorders>
            <w:shd w:val="clear" w:color="#000000" w:fill="#FFFFFF"/>
            <w:vAlign w:val="top"/>
            <w:tcMar>
              <w:left w:w="34" w:type="dxa"/>
              <w:right w:w="34" w:type="dxa"/>
            </w:tcMar>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«Прогнозирование, проектирование и моделирование в социальной работе» / Костюк Ирина Александровна.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Кононова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Холостова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978-5-9916-2076-5.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https://urait.ru/bcode/425248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Прогнозирование,</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Солодянкина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978-5-534-10427-1.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https://urait.ru/bcode/430010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Прогнозирование,</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работе.</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I.</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Морозов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Прогнозирование,</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работе.</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I.</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Казань:</w:t>
            </w:r>
            <w:r>
              <w:rPr/>
              <w:t xml:space="preserve"> </w:t>
            </w:r>
            <w:r>
              <w:rPr>
                <w:rFonts w:ascii="Times New Roman" w:hAnsi="Times New Roman" w:cs="Times New Roman"/>
                <w:color w:val="#000000"/>
                <w:sz w:val="24"/>
                <w:szCs w:val="24"/>
              </w:rPr>
              <w:t>Казанский</w:t>
            </w:r>
            <w:r>
              <w:rPr/>
              <w:t xml:space="preserve"> </w:t>
            </w:r>
            <w:r>
              <w:rPr>
                <w:rFonts w:ascii="Times New Roman" w:hAnsi="Times New Roman" w:cs="Times New Roman"/>
                <w:color w:val="#000000"/>
                <w:sz w:val="24"/>
                <w:szCs w:val="24"/>
              </w:rPr>
              <w:t>национальный</w:t>
            </w:r>
            <w:r>
              <w:rPr/>
              <w:t xml:space="preserve"> </w:t>
            </w:r>
            <w:r>
              <w:rPr>
                <w:rFonts w:ascii="Times New Roman" w:hAnsi="Times New Roman" w:cs="Times New Roman"/>
                <w:color w:val="#000000"/>
                <w:sz w:val="24"/>
                <w:szCs w:val="24"/>
              </w:rPr>
              <w:t>исследовательский</w:t>
            </w:r>
            <w:r>
              <w:rPr/>
              <w:t xml:space="preserve"> </w:t>
            </w:r>
            <w:r>
              <w:rPr>
                <w:rFonts w:ascii="Times New Roman" w:hAnsi="Times New Roman" w:cs="Times New Roman"/>
                <w:color w:val="#000000"/>
                <w:sz w:val="24"/>
                <w:szCs w:val="24"/>
              </w:rPr>
              <w:t>технологический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978-5-7882-0669-1.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http://www.iprbookshop.ru/63970.html</w:t>
            </w:r>
            <w:r>
              <w:rPr/>
              <w:t xml:space="preserve"> </w:t>
            </w:r>
          </w:p>
        </w:tc>
      </w:tr>
      <w:tr>
        <w:trPr>
          <w:trHeight w:hRule="exact" w:val="1610.68"/>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6.78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416.6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2024-2025_ФГОС3++2024_Бак-ОФО-СР(24)_plx_Прогнозирование_ проектирование и моделирование в социальной работе</dc:title>
  <dc:creator>FastReport.NET</dc:creator>
</cp:coreProperties>
</file>